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BBankGEÜV</w:t>
      </w:r>
    </w:p>
    <w:p>
      <w:r>
        <w:rPr>
          <w:color w:val="555555"/>
          <w:sz w:val="18"/>
        </w:rPr>
        <w:t xml:space="preserve">Verordnung zur Übertragung von Verordnungsermächtigungen der Bundesregierung nach § 31 des Gesetzes über die Deutsche Bundesbank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Die in § 31 Absatz 7 Satz 1 des Gesetzes über die Deutsche Bundesbank enthaltene Ermächtigung wird auf den Vorstand der Deutschen Bundesbank übertragen.</w:t>
      </w:r>
    </w:p>
    <w:p>
      <w:r>
        <w:rPr>
          <w:color w:val="555555"/>
          <w:sz w:val="17"/>
        </w:rPr>
        <w:t xml:space="preserve">Zitiervorschlag: § 3 BBankGEÜV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https://recht.nulegal.eu/gesetze/BBankGE%C3%9CV/3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BBankGEÜV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