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BBankG — Übergangsvorschrift für die Vorstände der Landeszentralbanken und die Beiräte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Vorstände der am 1. November 1992 bestehenden Landeszentralbanken, deren Bereiche sich gemäß § 8 Abs. 1 Nr. 4, 5 und 8 verändern, scheiden am 1. November 1992 aus ihren Ämtern. Sie erhalten für die restliche Dauer ihrer vertraglich vorgesehenen Amtszeit die Amtsbezüge als Ruhegehalt und anschließend die vertragliche Regelversorgung.</w:t>
      </w:r>
    </w:p>
    <w:p>
      <w:r>
        <w:t xml:space="preserve">(2) Die am 1. November 1992 bestehenden Beiräte bei den Landeszentralbanken werden aufgelöst.</w:t>
      </w:r>
    </w:p>
    <w:p>
      <w:r>
        <w:rPr>
          <w:color w:val="555555"/>
          <w:sz w:val="17"/>
        </w:rPr>
        <w:t xml:space="preserve">Zitiervorschlag: § 39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