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BBankG — Auskünfte und Prüfungen, Untersagung der Wiederausgabe von Banknoten</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Verpflichtete nach § 36 Absatz 1, die Banknoten wieder in Umlauf geben wollen, haben der Deutschen Bundesbank auf Verlangen Auskünfte über die Herkunft der Banknoten, deren Bearbeitung sowie die verwendeten Banknotenbearbeitungsgeräte zu erteilen und Unterlagen vorzulegen. Die Auskunft kann verweigert werden, wenn die Beantwortung den Verpflichteten oder einen der in § 383 Absatz 1 Nummer 1 bis 3 der Zivilprozessordnung bezeichneten Angehörigen der Gefahr strafrechtlicher Verfolgung oder eines Verfahrens nach dem Gesetz über Ordnungswidrigkeiten aussetzen würde.</w:t>
      </w:r>
    </w:p>
    <w:p>
      <w:r>
        <w:t xml:space="preserve">(2) Die Deutsche Bundesbank kann, auch ohne besonderen Anlass, bei den Verpflichteten nach § 36 Absatz 1 Prüfungen vornehmen und die Geschäftsräume innerhalb der üblichen Betriebs- und Geschäftszeiten betreten; das gilt auch für Unternehmen, auf die die Verpflichteten ihre Tätigkeiten ausgelagert haben. Die Betroffenen haben diese Maßnahmen zu dulden.</w:t>
      </w:r>
    </w:p>
    <w:p>
      <w:r>
        <w:t xml:space="preserve">(3) Verstößt ein Verpflichteter nach § 36 Absatz 1 gegen die nach dem Beschluss EZB/2010/14 der- Europäischen Zentralbank vom 16. September 2010 über die Prüfung der Echtheit und Umlauffähigkeit und über die Wiederausgabe von Euro-Banknoten (ABl. L 267 vom 9.10.2010, S. 1) zu erfüllenden Prüfpflichten, soll die Deutsche Bundesbank dem Verpflichteten untersagen, Banknoten oder bestimmte Banknotenstückelungen wieder in den Umlauf zu geben oder mittels bestimmter Systeme zur Banknotenbearbeitung zu prüfen.</w:t>
      </w:r>
    </w:p>
    <w:p>
      <w:r>
        <w:rPr>
          <w:color w:val="555555"/>
          <w:sz w:val="17"/>
        </w:rPr>
        <w:t xml:space="preserve">Zitiervorschlag: § 37a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