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BBankG — Einziehung</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(1) Unbefugt ausgegebene Gegenstände der in § 35 genannten Art können eingezogen werden.</w:t>
      </w:r>
    </w:p>
    <w:p>
      <w:r>
        <w:t xml:space="preserve">(2) Nach Absatz 1 eingezogene Gegenstände sowie nach § 150 des Strafgesetzbuchs eingezogenes Falschgeld sind von der Deutschen Bundesbank aufzubewahren. Sie können, wenn der Täter ermittelt worden ist, nach Ablauf von zehn Jahren und, wenn der Täter nicht ermittelt worden ist, nach Ablauf von zwanzig Jahren nach Rechtskraft des die Einziehung aussprechenden Urteils vernichtet werden.</w:t>
      </w:r>
    </w:p>
    <w:p>
      <w:r>
        <w:rPr>
          <w:color w:val="555555"/>
          <w:sz w:val="17"/>
        </w:rPr>
        <w:t xml:space="preserve">Zitiervorschlag: § 37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