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BBankG — Veröffentlichungen</w:t>
      </w:r>
    </w:p>
    <w:p>
      <w:r>
        <w:rPr>
          <w:color w:val="555555"/>
          <w:sz w:val="18"/>
        </w:rPr>
        <w:t xml:space="preserve">Gesetz über die Deutsche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Deutsche Bundesbank hat ihre für die Öffentlichkeit bestimmten Bekanntmachungen, insbesondere den Aufruf von Noten sowie die Anordnung von Statistiken im Bundesanzeiger zu veröffentlichen.</w:t>
      </w:r>
    </w:p>
    <w:p>
      <w:r>
        <w:rPr>
          <w:color w:val="555555"/>
          <w:sz w:val="17"/>
        </w:rPr>
        <w:t xml:space="preserve">Zitiervorschlag: § 33 BBankG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