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BBankG — Sonderstellung der Deutschen Bundesbank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mit der Zentrale am Sitz der Bank hat die Stellung einer obersten Bundesbehörde. Die Hauptverwaltungen und Filialen haben die Stellung von Bundesbehörden.</w:t>
      </w:r>
    </w:p>
    <w:p>
      <w:r>
        <w:t xml:space="preserve">(2) Die Deutsche Bundesbank und ihre Bediensteten genießen die Vergünstigungen, die in Bau-, Wohnungs- und Mietangelegenheiten für den Bund und seine Bediensteten gelten.</w:t>
      </w:r>
    </w:p>
    <w:p>
      <w:r>
        <w:t xml:space="preserve">(3) Die Vorschriften des Handelsgesetzbuchs über die Eintragungen in das Handelsregister sowie die Vorschriften über die Zugehörigkeit zu den Industrie- und Handelskammern sind auf die Deutsche Bundesbank nicht anzuwenden.</w:t>
      </w:r>
    </w:p>
    <w:p>
      <w:r>
        <w:rPr>
          <w:color w:val="555555"/>
          <w:sz w:val="17"/>
        </w:rPr>
        <w:t xml:space="preserve">Zitiervorschlag: § 29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