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BBankG — Gewinnverteilung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Reingewinn ist in nachstehender Reihenfolge zu verwenden:</w:t>
      </w:r>
    </w:p>
    <w:p>
      <w:pPr>
        <w:ind w:left="420"/>
      </w:pPr>
      <w:r>
        <w:t xml:space="preserve">1. zwanzig vom Hundert des Gewinns, jedoch mindestens zweihundertfünfzig Millionen Euro, sind einer gesetzlichen Rücklage, soweit sie den Betrag von 2,5 Milliarden Euro unterschreitet, bis zu ihrer Auffüllung zuzuführen; die gesetzliche Rücklage darf nur zum Ausgleich von Wertminderungen und zur Deckung anderer Verluste verwendet werden;</w:t>
      </w:r>
    </w:p>
    <w:p>
      <w:pPr>
        <w:ind w:left="420"/>
      </w:pPr>
      <w:r>
        <w:t xml:space="preserve">2. der Restbetrag ist an den Bund abzuführen.</w:t>
      </w:r>
    </w:p>
    <w:p>
      <w:r>
        <w:rPr>
          <w:color w:val="555555"/>
          <w:sz w:val="17"/>
        </w:rPr>
        <w:t xml:space="preserve">Zitiervorschlag: § 27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