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BBankG — Bestätigung von Schecks</w:t>
      </w:r>
    </w:p>
    <w:p>
      <w:r>
        <w:rPr>
          <w:color w:val="555555"/>
          <w:sz w:val="18"/>
        </w:rPr>
        <w:t xml:space="preserve">Gesetz über die Deutsche Bundesbank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Deutsche Bundesbank darf Schecks, die auf sie gezogen sind, nur nach Deckung bestätigen. Aus dem Bestätigungsvermerk wird sie dem Inhaber zur Einlösung verpflichtet; für die Einlösung haftet sie auch dem Aussteller und dem Indossanten.</w:t>
      </w:r>
    </w:p>
    <w:p>
      <w:r>
        <w:t xml:space="preserve">(2) Die Einlösung des bestätigten Schecks darf auch dann nicht verweigert werden, wenn inzwischen über das Vermögen des Ausstellers das Insolvenzverfahren eröffnet worden ist.</w:t>
      </w:r>
    </w:p>
    <w:p>
      <w:r>
        <w:t xml:space="preserve">(3) Die Verpflichtung aus der Bestätigung erlischt, wenn der Scheck nicht binnen acht Tagen nach der Ausstellung zur Zahlung vorgelegt wird. Für den Nachweis der Vorlegung gilt Artikel 40 des Scheckgesetzes.</w:t>
      </w:r>
    </w:p>
    <w:p>
      <w:r>
        <w:t xml:space="preserve">(4) Der Anspruch aus der Bestätigung verjährt in zwei Jahren vom Ablauf der Vorlegungsfrist an.</w:t>
      </w:r>
    </w:p>
    <w:p>
      <w:r>
        <w:t xml:space="preserve">(5) Auf die gerichtliche Geltendmachung von Ansprüchen auf Grund der Bestätigung sind die für Wechselsachen geltenden Zuständigkeits- und Verfahrensvorschriften entsprechend anzuwenden.</w:t>
      </w:r>
    </w:p>
    <w:p>
      <w:r>
        <w:rPr>
          <w:color w:val="555555"/>
          <w:sz w:val="17"/>
        </w:rPr>
        <w:t xml:space="preserve">Zitiervorschlag: § 23 BBankG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