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BBankG — Rechtsform, Grundkapital und Sitz</w:t>
      </w:r>
    </w:p>
    <w:p>
      <w:r>
        <w:rPr>
          <w:color w:val="555555"/>
          <w:sz w:val="18"/>
        </w:rPr>
        <w:t xml:space="preserve">Gesetz über die Deutsche Bundesbank</w:t>
      </w:r>
    </w:p>
    <w:p>
      <w:r>
        <w:rPr>
          <w:color w:val="555555"/>
          <w:sz w:val="18"/>
        </w:rPr>
        <w:t xml:space="preserve">Stand: 10.06.2019 (konsolidierte Textfassung, kein amtliches Inkrafttretensdatum)</w:t>
      </w:r>
    </w:p>
    <w:p>
      <w:r>
        <w:t xml:space="preserve">Die Deutsche Bundesbank ist eine bundesunmittelbare juristische Person des öffentlichen Rechts. Ihr Grundkapital im Betrage von 2,5 Milliarden Euro steht dem Bund zu. Die Bank hat ihren Sitz in Frankfurt am Main.</w:t>
      </w:r>
    </w:p>
    <w:p>
      <w:r>
        <w:rPr>
          <w:color w:val="555555"/>
          <w:sz w:val="17"/>
        </w:rPr>
        <w:t xml:space="preserve">Zitiervorschlag: § 2 BBankG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https://recht.nulegal.eu/gesetze/BBankG/2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