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BBankG — Notenausgabe</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Die Deutsche Bundesbank hat unbeschadet des Artikels 128 Absatz 1 des Vertrages über die Arbeitsweise der Europäischen Union das ausschließliche Recht, Banknoten im Geltungsbereich dieses Gesetzes auszugeben. Auf Euro lautende Banknoten sind das einzige unbeschränkte gesetzliche Zahlungsmittel. Die Deutsche Bundesbank hat die Stückelung und die Unterscheidungsmerkmale der von ihr ausgegebenen Noten öffentlich bekanntzumachen.</w:t>
      </w:r>
    </w:p>
    <w:p>
      <w:r>
        <w:t xml:space="preserve">(2) Die Deutsche Bundesbank kann unbeschadet des Artikels 128 Absatz 1 des Vertrages über die Arbeitsweise der Europäischen Union Noten zur Einziehung aufrufen. Aufgerufene Noten werden nach Ablauf der beim Aufruf bestimmten Umtauschfrist ungültig.</w:t>
      </w:r>
    </w:p>
    <w:p>
      <w:r>
        <w:rPr>
          <w:color w:val="555555"/>
          <w:sz w:val="17"/>
        </w:rPr>
        <w:t xml:space="preserve">Zitiervorschlag: § 14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