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13 BBankG — Zusammenarbeit</w:t>
      </w:r>
    </w:p>
    <w:p>
      <w:r>
        <w:rPr>
          <w:color w:val="555555"/>
          <w:sz w:val="18"/>
        </w:rPr>
        <w:t xml:space="preserve">Gesetz über die Deutsche Bundesbank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Deutsche Bundesbank hat die Bundesregierung in Angelegenheiten von wesentlicher währungspolitischer Bedeutung zu beraten und ihr auf Verlangen Auskunft zu geben.</w:t>
      </w:r>
    </w:p>
    <w:p>
      <w:r>
        <w:t xml:space="preserve">(2) Die Bundesregierung soll den Präsidenten der Deutschen Bundesbank zu ihren Beratungen über Angelegenheiten von währungspolitischer Bedeutung zuziehen.</w:t>
      </w:r>
    </w:p>
    <w:p>
      <w:r>
        <w:rPr>
          <w:color w:val="555555"/>
          <w:sz w:val="17"/>
        </w:rPr>
        <w:t xml:space="preserve">Zitiervorschlag: § 13 BBankG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https://recht.nulegal.eu/gesetze/BBankG/13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