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BBankG§36aEÜV — Inkrafttreten</w:t>
      </w:r>
    </w:p>
    <w:p>
      <w:r>
        <w:rPr>
          <w:color w:val="555555"/>
          <w:sz w:val="18"/>
        </w:rPr>
        <w:t xml:space="preserve">Verordnung zur Übertragung der Verordnungsermächtigung nach § 36a des Gesetzes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BBankG§36aEÜV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https://recht.nulegal.eu/gesetze/BBankG%C2%A736aE%C3%9CV/2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BBankG§36aEÜV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