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BBahnVermG</w:t>
      </w:r>
    </w:p>
    <w:p>
      <w:r>
        <w:rPr>
          <w:color w:val="555555"/>
          <w:sz w:val="18"/>
        </w:rPr>
        <w:t xml:space="preserve">Gesetz über die vermögensrechtlichen Verhältnisse der Deutschen Bundesbahn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Wirksamkeit von rechtsgeschäftlichen Verfügungen, die über Vermögensrechte der in § 1 bezeichneten Art vor dem Inkrafttreten dieses Gesetzes getroffen worden sind, bleibt unberührt.</w:t>
      </w:r>
    </w:p>
    <w:p>
      <w:r>
        <w:rPr>
          <w:color w:val="555555"/>
          <w:sz w:val="17"/>
        </w:rPr>
        <w:t xml:space="preserve">Zitiervorschlag: § 5 BBahnVermG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https://recht.nulegal.eu/gesetze/BBahnVermG/5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