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BBahnVermG</w:t>
      </w:r>
    </w:p>
    <w:p>
      <w:r>
        <w:rPr>
          <w:color w:val="555555"/>
          <w:sz w:val="18"/>
        </w:rPr>
        <w:t xml:space="preserve">Gesetz über die vermögensrechtlichen Verhältnisse der Deutschen Bundesbahn</w:t>
      </w:r>
    </w:p>
    <w:p>
      <w:r>
        <w:rPr>
          <w:color w:val="555555"/>
          <w:sz w:val="18"/>
        </w:rPr>
        <w:t xml:space="preserve">Stand: 10.06.2019 (konsolidierte Textfassung, kein amtliches Inkrafttretensdatum)</w:t>
      </w:r>
    </w:p>
    <w:p>
      <w:r>
        <w:t xml:space="preserve">(1) Das Eigentum und alle sonstigen Vermögensrechte des Deutschen Reiches, die zum bisherigen Sondervermögen "Deutsche Reichsbahn" gehören, sind mit Wirkung vom 24. Mai 1949 als Sondervermögen "Deutsche Bundesbahn" Vermögen des Bundes. Dazu gehören auch alle Vermögensrechte, die nach dem 8. Mai 1945 entweder mit Mitteln jenes Vermögens erworben oder ausschließlich dem Betrieb der Deutschen Reichsbahn im Vereinigten Wirtschaftsgebiet oder dem Betrieb der Betriebsvereinigung der Südwestdeutschen Eisenbahnen gewidmet worden sind, ohne Rücksicht darauf, für welchen Rechtsträger sie erworben worden sind.</w:t>
      </w:r>
    </w:p>
    <w:p>
      <w:r>
        <w:t xml:space="preserve">(2) Dies gilt auch für Rechte, die durch Gesetz für unübertragbar oder nur auf Grund besonderer Vereinbarung für übertragbar erklärt sind.</w:t>
      </w:r>
    </w:p>
    <w:p>
      <w:r>
        <w:rPr>
          <w:color w:val="555555"/>
          <w:sz w:val="17"/>
        </w:rPr>
        <w:t xml:space="preserve">Zitiervorschlag: § 1 BBahnVermG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https://recht.nulegal.eu/gesetze/BBahnVermG/1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