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BBahnG — Rechtsverhältnisse von Inhabern leitender Dienstposten</w:t>
      </w:r>
    </w:p>
    <w:p>
      <w:r>
        <w:rPr>
          <w:color w:val="555555"/>
          <w:sz w:val="18"/>
        </w:rPr>
        <w:t xml:space="preserve">Bundesbahngesetz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Inhaber folgender leitender Dienstposten stehen in einem öffentlich-rechtlichen Amtsverhältnis zum Bund:</w:t>
      </w:r>
    </w:p>
    <w:p>
      <w:pPr>
        <w:ind w:left="420"/>
      </w:pPr>
      <w:r>
        <w:t xml:space="preserve">1. Präsident einer Bundesbahndirektion,</w:t>
      </w:r>
    </w:p>
    <w:p>
      <w:pPr>
        <w:ind w:left="420"/>
      </w:pPr>
      <w:r>
        <w:t xml:space="preserve">2. Präsident der Zentralen Transportleitung der Deutschen Bundesbahn,</w:t>
      </w:r>
    </w:p>
    <w:p>
      <w:pPr>
        <w:ind w:left="420"/>
      </w:pPr>
      <w:r>
        <w:t xml:space="preserve">3. Präsident eines Bundesbahn-Zentralamts,</w:t>
      </w:r>
    </w:p>
    <w:p>
      <w:pPr>
        <w:ind w:left="420"/>
      </w:pPr>
      <w:r>
        <w:t xml:space="preserve">4. Präsident der Zentralen Verkaufsleitung der Deutschen Bundesbahn,</w:t>
      </w:r>
    </w:p>
    <w:p>
      <w:pPr>
        <w:ind w:left="420"/>
      </w:pPr>
      <w:r>
        <w:t xml:space="preserve">5. Leiter eines Fachbereichs bei der Hauptverwaltung der Deutschen Bundesbahn.</w:t>
      </w:r>
    </w:p>
    <w:p>
      <w:r>
        <w:t xml:space="preserve">Sie führen eine der in Nummer 1 bis 5 genannten Amtsbezeichnungen. § 8 Abs. 1 Satz 4 und 5, Abs. 2 Satz 2, 3 und 5, Abs. 3 sowie die §§ 8a, 8b und 9a Abs. 3 gelten entsprechend.</w:t>
      </w:r>
    </w:p>
    <w:p>
      <w:r>
        <w:rPr>
          <w:color w:val="555555"/>
          <w:sz w:val="17"/>
        </w:rPr>
        <w:t xml:space="preserve">Zitiervorschlag: § 19a BBahnG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