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BBVLG 1975</w:t>
      </w:r>
    </w:p>
    <w:p>
      <w:r>
        <w:rPr>
          <w:color w:val="555555"/>
          <w:sz w:val="18"/>
        </w:rPr>
        <w:t xml:space="preserve">Gesetz über vermögenswirksame Leistungen für Beamte, Richter, Berufssoldaten und Soldaten auf Zeit</w:t>
      </w:r>
    </w:p>
    <w:p>
      <w:r>
        <w:rPr>
          <w:color w:val="555555"/>
          <w:sz w:val="18"/>
        </w:rPr>
        <w:t xml:space="preserve">Stand: 10.06.2019 (konsolidierte Textfassung, kein amtliches Inkrafttretensdatum)</w:t>
      </w:r>
    </w:p>
    <w:p>
      <w:r>
        <w:t xml:space="preserve">(1) Der Berechtigte teilt seiner Dienststelle oder der nach Landesrecht bestimmten Stelle schriftlich oder elektronisch die Art der gewählten Anlage mit und gibt hierbei, soweit dies nach der Art der Anlage erforderlich ist, das Unternehmen oder Institut mit der Nummer des Kontos an, auf das die Leistung eingezahlt werden soll.</w:t>
      </w:r>
    </w:p>
    <w:p>
      <w:r>
        <w:t xml:space="preserve">(2) Für die vermögenswirksamen Leistungen nach diesem Gesetz und die vermögenswirksame Anlage von Teilen der Bezüge nach dem Fünften Vermögensbildungsgesetz soll der Berechtigte möglichst dieselbe Anlageart und dasselbe Unternehmen oder Institut wählen.</w:t>
      </w:r>
    </w:p>
    <w:p>
      <w:r>
        <w:t xml:space="preserve">(3) Der Wechsel der Anlage bedarf im Falle des § 11 Abs. 3 Satz 2 des Fünften Vermögensbildungsgesetzes nicht der Zustimmung der zuständigen Stelle, wenn der Berechtigte diesen Wechsel aus Anlass der erstmaligen Gewährung der vermögenswirksamen Leistung verlangt.</w:t>
      </w:r>
    </w:p>
    <w:p>
      <w:r>
        <w:rPr>
          <w:color w:val="555555"/>
          <w:sz w:val="17"/>
        </w:rPr>
        <w:t xml:space="preserve">Zitiervorschlag: § 4 BBVLG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https://recht.nulegal.eu/gesetze/BBVLG%201975/4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