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BBVLG 1975</w:t>
      </w:r>
    </w:p>
    <w:p>
      <w:r>
        <w:rPr>
          <w:color w:val="555555"/>
          <w:sz w:val="18"/>
        </w:rPr>
        <w:t xml:space="preserve">Gesetz über vermögenswirksame Leistungen für Beamte, Richter, Berufssoldaten und Soldaten auf Zeit</w:t>
      </w:r>
    </w:p>
    <w:p>
      <w:r>
        <w:rPr>
          <w:color w:val="555555"/>
          <w:sz w:val="18"/>
        </w:rPr>
        <w:t xml:space="preserve">Stand: 10.06.2019 (konsolidierte Textfassung, kein amtliches Inkrafttretensdatum)</w:t>
      </w:r>
    </w:p>
    <w:p>
      <w:r>
        <w:t xml:space="preserve">(1) Die vermögenswirksame Leistung beträgt 6,65 Euro. Teilzeitbeschäftigte erhalten den Betrag, der dem Verhältnis der ermäßigten zur regelmäßigen Arbeitszeit entspricht; bei begrenzter Dienstfähigkeit nach bundes- oder landesrechtlicher Regelung gilt Entsprechendes.</w:t>
      </w:r>
    </w:p>
    <w:p>
      <w:r>
        <w:t xml:space="preserve">(2) Beamte auf Widerruf im Vorbereitungsdienst, deren Anwärterbezüge nebst Familienzuschlag der Stufe 1 971,45 Euro monatlich nicht erreichen, erhalten 13,29 Euro.</w:t>
      </w:r>
    </w:p>
    <w:p>
      <w:r>
        <w:t xml:space="preserve">(3) Für die Höhe der vermögenswirksamen Leistung sind die Verhältnisse am Ersten des Kalendermonats maßgebend. Wird das Dienstverhältnis nach dem Ersten des Kalendermonats begründet, ist für diesen Monat der Tag des Beginns des Dienstverhältnisses maßgebend.</w:t>
      </w:r>
    </w:p>
    <w:p>
      <w:r>
        <w:t xml:space="preserve">(4) Die vermögenswirksame Leistung ist bis zum Ablauf der auf den Monat der Mitteilung nach § 4 Abs. 1 folgenden drei Kalendermonate, danach monatlich im Voraus zu zahlen.</w:t>
      </w:r>
    </w:p>
    <w:p>
      <w:r>
        <w:rPr>
          <w:color w:val="555555"/>
          <w:sz w:val="17"/>
        </w:rPr>
        <w:t xml:space="preserve">Zitiervorschlag: § 2 BBVLG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https://recht.nulegal.eu/gesetze/BBVLG%201975/2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BBVLG 1975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