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BBVAnpG 98 — Inkrafttreten</w:t>
      </w:r>
    </w:p>
    <w:p>
      <w:r>
        <w:rPr>
          <w:color w:val="555555"/>
          <w:sz w:val="18"/>
        </w:rPr>
        <w:t xml:space="preserve">Bundesbesoldungs- und -versorgungsanpassungsgesetz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vorbehaltlich des Absatzes 2 mit Wirkung vom 1. Januar 1998 in Kraft.</w:t>
      </w:r>
    </w:p>
    <w:p>
      <w:r>
        <w:t xml:space="preserve">(2) (weggefallen)</w:t>
      </w:r>
    </w:p>
    <w:p>
      <w:r>
        <w:t xml:space="preserve">(3) Abweichend von Absatz 2 tritt die Regelung über den Wegfall der Erwerbsbeschränkung schwerbehinderter Richter im Antragsruhestand in Artikel 7 Nr. 1 am 1. Januar 2001 in Kraft, soweit nicht bis zu diesem Zeitpunkt durch ein Gesetz ein anderes geregelt ist.</w:t>
      </w:r>
    </w:p>
    <w:p>
      <w:r>
        <w:rPr>
          <w:color w:val="555555"/>
          <w:sz w:val="17"/>
        </w:rPr>
        <w:t xml:space="preserve">Zitiervorschlag: Art 14 BBVAnpG 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https://recht.nulegal.eu/gesetze/BBVAnpG%2098/14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