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BBV (Brandenburg) — Inkrafttreten</w:t>
      </w:r>
    </w:p>
    <w:p>
      <w:r>
        <w:rPr>
          <w:color w:val="555555"/>
          <w:sz w:val="18"/>
        </w:rPr>
        <w:t xml:space="preserve">Beitragsbemessungsverordnung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2021 in Kraft.</w:t>
      </w:r>
    </w:p>
    <w:p>
      <w:r>
        <w:t xml:space="preserve">Einzelnorm</w:t>
      </w:r>
    </w:p>
    <w:p>
      <w:r>
        <w:t xml:space="preserve">Potsdam, den 7. Mai 2020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2) - Zuordnung der Nutzungsartengruppen zu Vorteilsgebietstypen und Beitragsbemessungsfaktoren 157.1 KB</w:t>
      </w:r>
    </w:p>
    <w:p>
      <w:r>
        <w:rPr>
          <w:color w:val="555555"/>
          <w:sz w:val="17"/>
        </w:rPr>
        <w:t xml:space="preserve">Zitiervorschlag: § 5 BBV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