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BBV (Brandenburg) — Zuordnung der Nutzungsartengruppen zu den Vorteilsgebietstypen, Beitragsbemessungsfaktoren</w:t>
      </w:r>
    </w:p>
    <w:p>
      <w:r>
        <w:rPr>
          <w:color w:val="555555"/>
          <w:sz w:val="18"/>
        </w:rPr>
        <w:t xml:space="preserve">Beitragsbemessungsverordnung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Zuordnung der Nutzungsartengruppen zu den drei Vorteilsgebietstypen ergibt sich aus der Anlage. Die dort genannten Vorteilsgebietstypen sind abschließend.</w:t>
      </w:r>
    </w:p>
    <w:p>
      <w:r>
        <w:t xml:space="preserve">(2) Die Beitragsbemessungsfaktoren pro Flächeneinheit für die Vorteilsgebietstypen ergeben sich aus der Anlage.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