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BBRWidVertrAnO</w:t>
      </w:r>
    </w:p>
    <w:p>
      <w:r>
        <w:rPr>
          <w:color w:val="555555"/>
          <w:sz w:val="18"/>
        </w:rPr>
        <w:t xml:space="preserve">Anordnung zur Übertragung von Zuständigkeiten für den Erlass von Widerspruchsbescheiden und für die Vertretung des Dienstherrn bei Klagen aus dem Beamtenverhältnis von Beamtinnen und Beamten des Bundesamtes für Bauwesen und Raumordnung auf das Bundesamt für Bauwesen und Raumordnung</w:t>
      </w:r>
    </w:p>
    <w:p>
      <w:r>
        <w:rPr>
          <w:color w:val="555555"/>
          <w:sz w:val="18"/>
        </w:rPr>
        <w:t xml:space="preserve">Stand: 13.04.2025 (konsolidierte Textfassung, kein amtliches Inkrafttretensdatum)</w:t>
      </w:r>
    </w:p>
    <w:p>
      <w:r>
        <w:t xml:space="preserve">Nach § 126 Absatz 3 Satz 2 und § 127 Absatz 3 Satz 1 des Bundesbeamtengesetzes vom 5. Februar 2009 (BGBl. I S. 160) ordne ich an:</w:t>
      </w:r>
    </w:p>
    <w:p>
      <w:r>
        <w:rPr>
          <w:color w:val="555555"/>
          <w:sz w:val="17"/>
        </w:rPr>
        <w:t xml:space="preserve">Zitiervorschlag: Eingangsformel BBRWidVertrAnO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https://recht.nulegal.eu/gesetze/BBRWidVertrAnO/eingangsformel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