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BBRErnAnO — Inkrafttreten</w:t>
      </w:r>
    </w:p>
    <w:p>
      <w:r>
        <w:rPr>
          <w:color w:val="555555"/>
          <w:sz w:val="18"/>
        </w:rPr>
        <w:t xml:space="preserve">Anordnung über die Befugnisse zur Ernennung und Entlassung der Beamtinnen und Beamten des Bundesamtes für Bauwesen und Raumordnung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Diese Anordnung tritt mit Wirkung vom 8. Dezember 2021 in Kraft.</w:t>
      </w:r>
    </w:p>
    <w:p>
      <w:r>
        <w:rPr>
          <w:color w:val="555555"/>
          <w:sz w:val="17"/>
        </w:rPr>
        <w:t xml:space="preserve">Zitiervorschlag: § 3 BBRErnAnO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https://recht.nulegal.eu/gesetze/BBRErnAnO/3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