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BBPlG — Rechtsschutz</w:t>
      </w:r>
    </w:p>
    <w:p>
      <w:r>
        <w:rPr>
          <w:color w:val="555555"/>
          <w:sz w:val="18"/>
        </w:rPr>
        <w:t xml:space="preserve">Bundesbedarfsplangesetz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Für die in den Bundesbedarfsplan aufgenommenen Vorhaben ist § 50 Absatz 1 Nummer 6 der Verwaltungsgerichtsordnung anzuwenden. Dies ist auch anzuwenden für</w:t>
      </w:r>
    </w:p>
    <w:p>
      <w:pPr>
        <w:ind w:left="420"/>
      </w:pPr>
      <w:r>
        <w:t xml:space="preserve">1. auf diese Vorhaben bezogene Veränderungssperren, Zulassungen des vorzeitigen Baubeginns und Anzeigeverfahren und</w:t>
      </w:r>
    </w:p>
    <w:p>
      <w:pPr>
        <w:ind w:left="420"/>
      </w:pPr>
      <w:r>
        <w:t xml:space="preserve">2. Genehmigungen nach dem Bundes-Immissionsschutzgesetz für Stromrichteranlagen, die dem Betrieb von Vorhaben aus dem Bundesbedarfsplan dienen.</w:t>
      </w:r>
    </w:p>
    <w:p>
      <w:r>
        <w:rPr>
          <w:color w:val="555555"/>
          <w:sz w:val="17"/>
        </w:rPr>
        <w:t xml:space="preserve">Zitiervorschlag: § 6 BBPlG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https://recht.nulegal.eu/gesetze/BBPlG/6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