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BBPlG — Berichtspflicht der Übertragungsnetzbetreiber</w:t>
      </w:r>
    </w:p>
    <w:p>
      <w:r>
        <w:rPr>
          <w:color w:val="555555"/>
          <w:sz w:val="18"/>
        </w:rPr>
        <w:t xml:space="preserve">Bundesbedarfsplangesetz</w:t>
      </w:r>
    </w:p>
    <w:p>
      <w:r>
        <w:rPr>
          <w:color w:val="555555"/>
          <w:sz w:val="18"/>
        </w:rPr>
        <w:t xml:space="preserve">Stand: 24.07.2026 (konsolidierte Textfassung, kein amtliches Inkrafttretensdatum)</w:t>
      </w:r>
    </w:p>
    <w:p>
      <w:r>
        <w:t xml:space="preserve">Auf Verlangen haben die Betreiber von Übertragungsnetzen dem Bundesministerium für Wirtschaft und Energie über den Sachstand bei den Vorhaben nach § 2 Absatz 2 bis 8 und die gewonnenen Erfahrungen mit dem Einsatz von Erdkabeln nach den §§ 3 und 4 zu berichten.</w:t>
      </w:r>
    </w:p>
    <w:p>
      <w:r>
        <w:rPr>
          <w:color w:val="555555"/>
          <w:sz w:val="17"/>
        </w:rPr>
        <w:t xml:space="preserve">Zitiervorschlag: § 5 BBPlG</w:t>
      </w:r>
    </w:p>
    <w:p>
      <w:r>
        <w:rPr>
          <w:color w:val="555555"/>
          <w:sz w:val="17"/>
        </w:rPr>
        <w:t xml:space="preserve">Quelle: Bundesamt für Justiz, abgerufen 24.07.2026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https://recht.nulegal.eu/gesetze/BBPlG/5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