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BBPlG — Erdkabel für Leitungen zur Höchstspannungs-Gleichstrom-Übertragung</w:t>
      </w:r>
    </w:p>
    <w:p>
      <w:r>
        <w:rPr>
          <w:color w:val="555555"/>
          <w:sz w:val="18"/>
        </w:rPr>
        <w:t xml:space="preserve">Bundesbedarfsplangesetz</w:t>
      </w:r>
    </w:p>
    <w:p>
      <w:r>
        <w:rPr>
          <w:color w:val="555555"/>
          <w:sz w:val="18"/>
        </w:rPr>
        <w:t xml:space="preserve">Stand: 04.01.2024 (konsolidierte Textfassung, kein amtliches Inkrafttretensdatum)</w:t>
      </w:r>
    </w:p>
    <w:p>
      <w:r>
        <w:t xml:space="preserve">(1) Leitungen zur Höchstspannungs-Gleichstrom-Übertragung der im Bundesbedarfsplan mit „E“ gekennzeichneten Vorhaben sind nach Maßgabe dieser Vorschrift als Erdkabel zu errichten und zu betreiben oder zu ändern.</w:t>
      </w:r>
    </w:p>
    <w:p>
      <w:r>
        <w:t xml:space="preserve">(2) Die Leitung kann auf technisch und wirtschaftlich effizienten Teilabschnitten als Freileitung errichtet und betrieben oder geändert werden, soweit</w:t>
      </w:r>
    </w:p>
    <w:p>
      <w:pPr>
        <w:ind w:left="420"/>
      </w:pPr>
      <w:r>
        <w:t xml:space="preserve">1. ein Erdkabel gegen die Verbote des § 44 Absatz 1 auch in Verbindung mit Absatz 5 des Bundesnaturschutzgesetzes verstieße und mit dem Einsatz einer Freileitung eine zumutbare Alternative im Sinne des § 45 Absatz 7 Satz 2 des Bundesnaturschutzgesetzes gegeben ist,</w:t>
      </w:r>
    </w:p>
    <w:p>
      <w:pPr>
        <w:ind w:left="420"/>
      </w:pPr>
      <w:r>
        <w:t xml:space="preserve">2. ein Erdkabel nach § 34 Absatz 2 des Bundesnaturschutzgesetzes unzulässig wäre und mit dem Einsatz einer Freileitung eine zumutbare Alternative im Sinne des § 34 Absatz 3 Nummer 2 des Bundesnaturschutzgesetzes gegeben ist, oder</w:t>
      </w:r>
    </w:p>
    <w:p>
      <w:pPr>
        <w:ind w:left="420"/>
      </w:pPr>
      <w:r>
        <w:t xml:space="preserve">3. die Leitung in oder unmittelbar neben der Trasse einer bestehenden oder bereits zugelassenen Hoch- oder Höchstspannungsfreileitung errichtet und betrieben oder geändert werden soll und der Einsatz einer Freileitung voraussichtlich keine zusätzlichen erheblichen Umweltauswirkungen hat.</w:t>
      </w:r>
    </w:p>
    <w:p>
      <w:r>
        <w:t xml:space="preserve">Auf Verlangen der für die Bundesfachplanung oder Zulassung des Vorhabens zuständigen Behörde müssen die Leitungen auf Teilabschnitten unter den Voraussetzungen des Satzes 1 als Freileitung errichtet und betrieben oder geändert werden.</w:t>
      </w:r>
    </w:p>
    <w:p>
      <w:r>
        <w:t xml:space="preserve">(3) Sofern Gebietskörperschaften, auf deren Gebiet ein Trassenkorridor voraussichtlich verlaufen wird, in der Antragskonferenz nach § 7 des Netzausbaubeschleunigungsgesetzes Übertragungsnetz aufgrund örtlicher Belange die Prüfung des Einsatzes einer Freileitung verlangen, ist vom Träger des Vorhabens zu prüfen, ob die Leitung auf Teilabschnitten in dieser Gebietskörperschaft abweichend von Absatz 2 als Freileitung errichtet und betrieben oder geändert werden kann. Sofern die Prüfung ergibt, dass dies möglich ist, und der Träger des Vorhabens dies bei der Vorlage der erforderlichen Unterlagen nach § 8 des Netzausbaubeschleunigungsgesetzes Übertragungsnetz vorschlägt, ist die Errichtung und der Betrieb oder die Änderung einer Leitung als Freileitung auf Teilabschnitten innerhalb der betreffenden Gebietskörperschaft abweichend von Absatz 2 zulässig. Auf Verlangen der für die Bundesfachplanung oder Zulassung des Vorhabens zuständigen Behörde müssen die Leitungen auf Teilabschnitten als Freileitung errichtet und betrieben oder geändert werden. Die Sätze 1 bis 3 sind nur anzuwenden bei Antragskonferenzen nach § 7 des Netzausbaubeschleunigungsgesetzes Übertragungsnetz, die vor dem 29. Juli 2022 durchgeführt worden sind.</w:t>
      </w:r>
    </w:p>
    <w:p>
      <w:r>
        <w:t xml:space="preserve">(4) Die Errichtung und der Betrieb oder die Änderung als Freileitung nach Absatz 2 und 3 ist unzulässig, wenn die Leitung</w:t>
      </w:r>
    </w:p>
    <w:p>
      <w:pPr>
        <w:ind w:left="420"/>
      </w:pPr>
      <w:r>
        <w:t xml:space="preserve">1. in einem Abstand von weniger als 400 Metern zu Wohngebäuden errichtet werden soll, die im Geltungsbereich eines Bebauungsplans oder im unbeplanten Innenbereich im Sinne des § 34 des Baugesetzbuchs liegen, falls diese Gebiete vorwiegend dem Wohnen dienen, oder</w:t>
      </w:r>
    </w:p>
    <w:p>
      <w:pPr>
        <w:ind w:left="420"/>
      </w:pPr>
      <w:r>
        <w:t xml:space="preserve">2. in einem Abstand von weniger als 200 Metern zu Wohngebäuden errichtet werden soll, die im Außenbereich im Sinne des § 35 des Baugesetzbuchs liegen.</w:t>
      </w:r>
    </w:p>
    <w:p>
      <w:r>
        <w:t xml:space="preserve">Satz 1 ist weder für die nachträgliche Änderung oder Erweiterung der Leitung noch für den nachträglichen Ersatz- und Parallelneubau anzuwenden.</w:t>
      </w:r>
    </w:p>
    <w:p>
      <w:r>
        <w:t xml:space="preserve">(5) Als Erdkabel im Sinne dieser Vorschrift gelten alle Erdleitungen einschließlich Kabeltunnel, Nebenbauwerken und gasisolierter Rohrleitungen. Kunststoffisolierte Erdkabel mit einer Nennspannung von mehr als 320 Kilovolt bis zu 525 Kilovolt erfüllen die Anforderungen an die technische Sicherheit im Sinne des § 49 des Energiewirtschaftsgesetzes.</w:t>
      </w:r>
    </w:p>
    <w:p>
      <w:r>
        <w:t xml:space="preserve">(6) Für Leitungen zur Höchstspannungs-Drehstrom-Übertragung, die der Anbindung von Stromrichteranlagen im Rahmen des im Bundesbedarfsplan mit „E“ gekennzeichneten Vorhabens dienen, ist § 4 entsprechend anzuwenden.</w:t>
      </w:r>
    </w:p>
    <w:p>
      <w:r>
        <w:rPr>
          <w:color w:val="555555"/>
          <w:sz w:val="17"/>
        </w:rPr>
        <w:t xml:space="preserve">Zitiervorschlag: § 3 BBPlG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https://recht.nulegal.eu/gesetze/BBPlG/3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