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96 BBG 2009 — Fernbleiben vom Dienst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dürfen dem Dienst nicht ohne Genehmigung ihrer Dienstvorgesetzten fernbleiben. Dienstunfähigkeit infolge von Krankheit ist auf Verlangen nachzuweisen.</w:t>
      </w:r>
    </w:p>
    <w:p>
      <w:r>
        <w:t xml:space="preserve">(2) Verliert die Beamtin oder der Beamte wegen unentschuldigten Fernbleibens vom Dienst nach dem Bundesbesoldungsgesetz den Anspruch auf Besoldung, wird dadurch die Durchführung eines Disziplinarverfahrens nicht ausgeschlossen.</w:t>
      </w:r>
    </w:p>
    <w:p>
      <w:r>
        <w:rPr>
          <w:color w:val="555555"/>
          <w:sz w:val="17"/>
        </w:rPr>
        <w:t xml:space="preserve">Zitiervorschlag: § 96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https://recht.nulegal.eu/gesetze/BBG%202009/96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96 BBG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