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87 BBG 2009 — Arbeitszeit</w:t>
      </w:r>
    </w:p>
    <w:p>
      <w:r>
        <w:rPr>
          <w:color w:val="555555"/>
          <w:sz w:val="18"/>
        </w:rPr>
        <w:t xml:space="preserve">Bundesbeamtengesetz</w:t>
      </w:r>
    </w:p>
    <w:p>
      <w:r>
        <w:rPr>
          <w:color w:val="555555"/>
          <w:sz w:val="18"/>
        </w:rPr>
        <w:t xml:space="preserve">Stand: 10.06.2019 (konsolidierte Textfassung, kein amtliches Inkrafttretensdatum)</w:t>
      </w:r>
    </w:p>
    <w:p>
      <w:r>
        <w:t xml:space="preserve">(1) Die regelmäßige Arbeitszeit darf wöchentlich im Durchschnitt 44 Stunden nicht überschreiten.</w:t>
      </w:r>
    </w:p>
    <w:p>
      <w:r>
        <w:t xml:space="preserve">(2) Soweit Bereitschaftsdienst besteht, kann die Arbeitszeit entsprechend den dienstlichen Bedürfnissen verlängert werden.</w:t>
      </w:r>
    </w:p>
    <w:p>
      <w:r>
        <w:t xml:space="preserve">(3) Das Nähere zur Regelung der Arbeitszeit, insbesondere zur Dauer, zu Möglichkeiten ihrer flexiblen Ausgestaltung und zur Kontrolle ihrer Einhaltung, regelt die Bundesregierung durch Rechtsverordnung. Eine Kontrolle der Einhaltung der Arbeitszeit mittels automatisierter Datenverarbeitungssysteme ist zulässig, soweit diese Systeme eine Mitwirkung der Beamtinnen und Beamten erfordern. Die erhobenen Daten dürfen nur für Zwecke der Arbeitszeitkontrolle, der Wahrung arbeitsschutzrechtlicher Bestimmungen und des gezielten Personaleinsatzes verwendet werden, soweit dies zur Aufgabenwahrnehmung der jeweils zuständigen Stelle erforderlich ist. In der Rechtsverordnung sind Löschfristen für die erhobenen Daten vorzusehen.</w:t>
      </w:r>
    </w:p>
    <w:p>
      <w:r>
        <w:rPr>
          <w:color w:val="555555"/>
          <w:sz w:val="17"/>
        </w:rPr>
        <w:t xml:space="preserve">Zitiervorschlag: § 87 BBG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https://recht.nulegal.eu/gesetze/BBG%202009/87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