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84a BBG 2009 — Rückforderung zu viel gezahlter Geldleistungen</w:t>
      </w:r>
    </w:p>
    <w:p>
      <w:r>
        <w:rPr>
          <w:color w:val="555555"/>
          <w:sz w:val="18"/>
        </w:rPr>
        <w:t xml:space="preserve">Bundesbeamtengesetz</w:t>
      </w:r>
    </w:p>
    <w:p>
      <w:r>
        <w:rPr>
          <w:color w:val="555555"/>
          <w:sz w:val="18"/>
        </w:rPr>
        <w:t xml:space="preserve">Stand: 10.06.2019 (konsolidierte Textfassung, kein amtliches Inkrafttretensdatum)</w:t>
      </w:r>
    </w:p>
    <w:p>
      <w:r>
        <w:t xml:space="preserve">Die Rückforderung zu viel gezahlter Geldleistungen, die der Dienstherr auf Grund beamtenrechtlicher Vorschriften geleistet hat, richtet sich nach den Vorschriften des Bürgerlichen Gesetzbuchs über die Herausgabe einer ungerechtfertigten Bereicherung. Der Kenntnis des Mangels des rechtlichen Grundes der Zahlung steht es gleich, wenn der Mangel so offensichtlich war, dass die Empfängerin oder der Empfänger ihn hätte erkennen müssen. Von der Rückforderung kann aus Billigkeitsgründen mit Zustimmung der obersten Dienstbehörde oder der von ihr bestimmten Stelle ganz oder teilweise abgesehen werden.</w:t>
      </w:r>
    </w:p>
    <w:p>
      <w:r>
        <w:rPr>
          <w:color w:val="555555"/>
          <w:sz w:val="17"/>
        </w:rPr>
        <w:t xml:space="preserve">Zitiervorschlag: § 84a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https://recht.nulegal.eu/gesetze/BBG%202009/84a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