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BBG 2009 — Reisekosten</w:t>
      </w:r>
    </w:p>
    <w:p>
      <w:r>
        <w:rPr>
          <w:color w:val="555555"/>
          <w:sz w:val="18"/>
        </w:rPr>
        <w:t xml:space="preserve">Bundesbeamtengesetz</w:t>
      </w:r>
    </w:p>
    <w:p>
      <w:r>
        <w:rPr>
          <w:color w:val="555555"/>
          <w:sz w:val="18"/>
        </w:rPr>
        <w:t xml:space="preserve">Stand: 13.04.2025 (konsolidierte Textfassung, kein amtliches Inkrafttretensdatum)</w:t>
      </w:r>
    </w:p>
    <w:p>
      <w:r>
        <w:t xml:space="preserve">(1) Beamtinnen und Beamte erhalten die notwendigen Kosten einer dienstlich veranlassten Reise (Dienstreise) vergütet. Die Reisekostenvergütung umfasst die Fahrt- und Flugkosten, eine Wegstreckenentschädigung, Tage- und Übernachtungsgelder, Reisebeihilfen für Familienheimfahrten sowie sonstige Kosten, die durch die Reise veranlasst sind.</w:t>
      </w:r>
    </w:p>
    <w:p>
      <w:r>
        <w:t xml:space="preserve">(2) Die Einzelheiten zu Art und Umfang der Reisekostenvergütung sowie die Grundsätze des Abrechnungsverfahrens regelt die Bundesregierung durch Rechtsverordnung. Bei der Bemessung der Reisekostenvergütung können Höchstgrenzen oder Pauschalen für eine Erstattung festgesetzt und abweichende Regelungen für besondere Fälle getroffen werden.</w:t>
      </w:r>
    </w:p>
    <w:p>
      <w:r>
        <w:t xml:space="preserve">(3) Für Reisen nach Absatz 1 im oder in das Ausland sowie vom Ausland in das Inland (Auslandsdienstreisen) kann das Bundesministerium des Innern und für Heimat im Einvernehmen mit dem Auswärtigen Amt, dem Bundesministerium der Verteidigung und dem Bundesministerium der Finanzen durch Rechtsverordnung abweichende Vorschriften erlassen. Dazu gehören die Anordnung und Genehmigung von Dienstreisen sowie der Umfang der Reisekostenvergütung einschließlich zusätzlich zu erstattender notwendiger Kosten, die der Erreichung des Zwecks von Auslandsdienstreisen dienen und die die besonderen Verhältnisse im Ausland berücksichtigen.</w:t>
      </w:r>
    </w:p>
    <w:p>
      <w:r>
        <w:rPr>
          <w:color w:val="555555"/>
          <w:sz w:val="17"/>
        </w:rPr>
        <w:t xml:space="preserve">Zitiervorschlag: § 81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