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74 BBG 2009 — Dienstkleidung</w:t>
      </w:r>
    </w:p>
    <w:p>
      <w:r>
        <w:rPr>
          <w:color w:val="555555"/>
          <w:sz w:val="18"/>
        </w:rPr>
        <w:t xml:space="preserve">Bundesbeamtengesetz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Bundespräsidentin oder der Bundespräsident oder die von ihr oder ihm bestimmte Stelle erlässt die Bestimmungen über Dienstkleidung, die bei Wahrnehmung des Amtes üblich oder erforderlich ist.</w:t>
      </w:r>
    </w:p>
    <w:p>
      <w:r>
        <w:rPr>
          <w:color w:val="555555"/>
          <w:sz w:val="17"/>
        </w:rPr>
        <w:t xml:space="preserve">Zitiervorschlag: § 74 BBG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https://recht.nulegal.eu/gesetze/BBG%202009/74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