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 2009 — Zulässigkeit des Beamtenverhältnisses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Berufung in das Beamtenverhältnis ist nur zulässig zur Wahrnehmung</w:t>
      </w:r>
    </w:p>
    <w:p>
      <w:pPr>
        <w:ind w:left="420"/>
      </w:pPr>
      <w:r>
        <w:t xml:space="preserve">1. hoheitsrechtlicher Aufgaben oder</w:t>
      </w:r>
    </w:p>
    <w:p>
      <w:pPr>
        <w:ind w:left="420"/>
      </w:pPr>
      <w:r>
        <w:t xml:space="preserve">2. von Aufgaben, die zur Sicherung des Staates oder des öffentlichen Lebens nicht ausschließlich Personen übertragen werden dürfen, die in einem privatrechtlichen Arbeitsverhältnis stehen.</w:t>
      </w:r>
    </w:p>
    <w:p>
      <w:r>
        <w:rPr>
          <w:color w:val="555555"/>
          <w:sz w:val="17"/>
        </w:rPr>
        <w:t xml:space="preserve">Zitiervorschlag: § 5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