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BBG 2009 — Ärztliche Untersuchung</w:t>
      </w:r>
    </w:p>
    <w:p>
      <w:r>
        <w:rPr>
          <w:color w:val="555555"/>
          <w:sz w:val="18"/>
        </w:rPr>
        <w:t xml:space="preserve">Bundesbeamtengesetz</w:t>
      </w:r>
    </w:p>
    <w:p>
      <w:r>
        <w:rPr>
          <w:color w:val="555555"/>
          <w:sz w:val="18"/>
        </w:rPr>
        <w:t xml:space="preserve">Stand: 10.06.2019 (konsolidierte Textfassung, kein amtliches Inkrafttretensdatum)</w:t>
      </w:r>
    </w:p>
    <w:p>
      <w:r>
        <w:t xml:space="preserve">(1) In den Fällen der §§ 44 bis 47 kann die zuständige Behörde die ärztliche Untersuchung nur einer Amtsärztin oder einem Amtsarzt übertragen oder einer Ärztin oder einem Arzt, die oder der als Gutachterin oder Gutachter nach Satz 2 zugelassen ist. Die oberste Dienstbehörde bestimmt, welche Ärztin oder welcher Arzt mit der Fertigung von Gutachten beauftragt werden kann. Sie kann diese Befugnis auf nachgeordnete Behörden übertragen.</w:t>
      </w:r>
    </w:p>
    <w:p>
      <w:r>
        <w:t xml:space="preserve">(2) Die Ärztin oder der Arzt teilt der Behörde auf Anforderung im Einzelfall die tragenden Gründe des Gutachtens mit, soweit deren Kenntnis für die Behörde unter Beachtung des Grundsatzes der Verhältnismäßigkeit für die von ihr zu treffende Entscheidung erforderlich ist. Diese Mitteilung ist in einem gesonderten und versiegelten Umschlag zu übersenden und versiegelt zur Personalakte zu nehmen. Sie darf nur für die Entscheidung der in Absatz 1 genannten Fälle verwendet werden.</w:t>
      </w:r>
    </w:p>
    <w:p>
      <w:r>
        <w:t xml:space="preserve">(3) Zu Beginn der Untersuchung ist die Beamtin oder der Beamte auf deren Zweck und die Mitteilungspflicht nach Absatz 2 hinzuweisen. Die Ärztin oder der Arzt übermittelt der Beamtin oder dem Beamten oder, soweit dem ärztliche Gründe entgegenstehen, einer oder einem Bevollmächtigten ein Doppel der Mitteilung nach Absatz 2.</w:t>
      </w:r>
    </w:p>
    <w:p>
      <w:r>
        <w:rPr>
          <w:color w:val="555555"/>
          <w:sz w:val="17"/>
        </w:rPr>
        <w:t xml:space="preserve">Zitiervorschlag: § 48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