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BBG 2009 — Folgen der Entlassung</w:t>
      </w:r>
    </w:p>
    <w:p>
      <w:r>
        <w:rPr>
          <w:color w:val="555555"/>
          <w:sz w:val="18"/>
        </w:rPr>
        <w:t xml:space="preserve">Bundesbeamtengesetz</w:t>
      </w:r>
    </w:p>
    <w:p>
      <w:r>
        <w:rPr>
          <w:color w:val="555555"/>
          <w:sz w:val="18"/>
        </w:rPr>
        <w:t xml:space="preserve">Stand: 10.06.2019 (konsolidierte Textfassung, kein amtliches Inkrafttretensdatum)</w:t>
      </w:r>
    </w:p>
    <w:p>
      <w:r>
        <w:t xml:space="preserve">Nach der Entlassung besteht kein Anspruch auf Besoldung und Versorgung, soweit gesetzlich nichts anderes bestimmt ist. Die oberste Dienstbehörde kann die Erlaubnis erteilen, die Amtsbezeichnung mit dem Zusatz „außer Dienst“ oder „a. D.“ sowie die im Zusammenhang mit dem Amt verliehenen Titel zu führen. Die Erlaubnis kann zurückgenommen werden, wenn die frühere Beamtin oder der frühere Beamte sich ihrer als nicht würdig erweist. Die oberste Dienstbehörde kann die Befugnis nach den Sätzen 2 und 3 auf nachgeordnete Behörden übertragen.</w:t>
      </w:r>
    </w:p>
    <w:p>
      <w:r>
        <w:rPr>
          <w:color w:val="555555"/>
          <w:sz w:val="17"/>
        </w:rPr>
        <w:t xml:space="preserve">Zitiervorschlag: § 39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