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BBG 2009 — Entlassung von Beamtinnen und Beamten in Führungsämtern auf Probe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 in Ämtern mit leitender Funktion sind</w:t>
      </w:r>
    </w:p>
    <w:p>
      <w:pPr>
        <w:ind w:left="420"/>
      </w:pPr>
      <w:r>
        <w:t xml:space="preserve">1. mit Ablauf der Probezeit nach § 24 Abs. 1,</w:t>
      </w:r>
    </w:p>
    <w:p>
      <w:pPr>
        <w:ind w:left="420"/>
      </w:pPr>
      <w:r>
        <w:t xml:space="preserve">2. mit Beendigung des Beamtenverhältnisses auf Lebenszeit,</w:t>
      </w:r>
    </w:p>
    <w:p>
      <w:pPr>
        <w:ind w:left="420"/>
      </w:pPr>
      <w:r>
        <w:t xml:space="preserve">3. mit Versetzung zu einem anderen Dienstherrn,</w:t>
      </w:r>
    </w:p>
    <w:p>
      <w:pPr>
        <w:ind w:left="420"/>
      </w:pPr>
      <w:r>
        <w:t xml:space="preserve">4. mit Festsetzung mindestens einer Kürzung der Dienstbezüge als Disziplinarmaßnahme oder</w:t>
      </w:r>
    </w:p>
    <w:p>
      <w:pPr>
        <w:ind w:left="420"/>
      </w:pPr>
      <w:r>
        <w:t xml:space="preserve">5. in den Fällen, in denen nur ein Beamtenverhältnis auf Probe besteht, mit Ende des Monats, in dem sie die im Beamtenverhältnis auf Lebenszeit geltende Altersgrenze erreichen,</w:t>
      </w:r>
    </w:p>
    <w:p>
      <w:r>
        <w:t xml:space="preserve">aus dem Beamtenverhältnis auf Probe nach § 24 Abs. 1 entlassen. Die §§ 31 bis 33 bleiben unberührt. § 34 Abs. 1 gilt entsprechend.</w:t>
      </w:r>
    </w:p>
    <w:p>
      <w:r>
        <w:rPr>
          <w:color w:val="555555"/>
          <w:sz w:val="17"/>
        </w:rPr>
        <w:t xml:space="preserve">Zitiervorschlag: § 35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BBG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