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 2009 — Abordnung; Verordnungsermächtigungen</w:t>
      </w:r>
    </w:p>
    <w:p>
      <w:r>
        <w:rPr>
          <w:color w:val="555555"/>
          <w:sz w:val="18"/>
        </w:rPr>
        <w:t xml:space="preserve">Bundesbeamtengesetz</w:t>
      </w:r>
    </w:p>
    <w:p>
      <w:r>
        <w:rPr>
          <w:color w:val="555555"/>
          <w:sz w:val="18"/>
        </w:rPr>
        <w:t xml:space="preserve">Stand: 16.01.2026 (konsolidierte Textfassung, kein amtliches Inkrafttretensdatum)</w:t>
      </w:r>
    </w:p>
    <w:p>
      <w:r>
        <w:t xml:space="preserve">(1) Eine Abordnung ist die vorübergehende Übertragung einer dem Amt der Beamtin oder des Beamten entsprechenden Tätigkeit bei einer anderen Dienststelle desselben oder eines anderen Dienstherrn unter Beibehaltung der Zugehörigkeit zur bisherigen Dienststelle. Die Abordnung kann ganz oder teilweise erfolgen.</w:t>
      </w:r>
    </w:p>
    <w:p>
      <w:r>
        <w:t xml:space="preserve">(2) Eine Abordnung ist ganz oder teilweise aus dienstlichen Gründen auch zu einer nicht dem bisherigen Amt entsprechenden Tätigkeit möglich, wenn die Wahrnehmung der neuen Tätigkeit aufgrund der Vorbildung oder Berufsausbildung zumutbar ist. Dabei ist auch die Abordnung zu einer Tätigkeit zulässig, die nicht einem Amt mit demselben Endgrundgehalt entspricht.</w:t>
      </w:r>
    </w:p>
    <w:p>
      <w:r>
        <w:t xml:space="preserve">(3) Die Abordnung bedarf der Zustimmung der Beamtin oder des Beamten, wenn sie</w:t>
      </w:r>
    </w:p>
    <w:p>
      <w:pPr>
        <w:ind w:left="420"/>
      </w:pPr>
      <w:r>
        <w:t xml:space="preserve">1. im Fall des Absatzes 2 länger als zwei Jahre dauert oder</w:t>
      </w:r>
    </w:p>
    <w:p>
      <w:pPr>
        <w:ind w:left="420"/>
      </w:pPr>
      <w:r>
        <w:t xml:space="preserve">2. zu einem anderen Dienstherrn erfolgt.</w:t>
      </w:r>
    </w:p>
    <w:p>
      <w:r>
        <w:t xml:space="preserve">Die Abordnung zu einem anderen Dienstherrn ist ohne Zustimmung zulässig, wenn die Tätigkeit einem Amt mit demselben Endgrundgehalt auch einer anderen Laufbahn entspricht und nicht länger als fünf Jahre dauert.</w:t>
      </w:r>
    </w:p>
    <w:p>
      <w:r>
        <w:t xml:space="preserve">(4) Die Abordnung zu einem anderen Dienstherrn wird von dem abgebenden im Einverständnis mit dem aufnehmenden Dienstherrn verfügt. Das Einverständnis ist schriftlich oder elektronisch zu erklären.</w:t>
      </w:r>
    </w:p>
    <w:p>
      <w:r>
        <w:t xml:space="preserve">(5) Werden Beamtinnen und Beamte des Bundes zu einem Land, einer Gemeinde, einem Gemeindeverband oder einer sonstigen nicht der Bundesaufsicht unterstehenden Körperschaft, Anstalt oder Stiftung des öffentlichen Rechts zur vorübergehenden Beschäftigung abgeordnet, sind, soweit zwischen den Dienstherren nichts anderes vereinbart ist, die für den Bereich des aufnehmenden Dienstherrn geltenden Vorschriften über die Pflichten und Rechte der Beamtinnen und Beamten entsprechend anzuwenden mit Ausnahme der Regelungen über Diensteid, Amtsbezeichnung, Zahlung von Bezügen, Krankenfürsorgeleistungen und Versorgung.</w:t>
      </w:r>
    </w:p>
    <w:p>
      <w:r>
        <w:t xml:space="preserve">(6) Die Verpflichtung zur Zahlung der Besoldung hat auch der Dienstherr, zu dem die Abordnung erfolgt ist.</w:t>
      </w:r>
    </w:p>
    <w:p>
      <w:r>
        <w:t xml:space="preserve">(7) Die Bundesministerien werden ermächtigt, durch Rechtsverordnung ohne Zustimmung des Bundesrates für ihren jeweiligen Geschäftsbereich zu regeln, dass der Bedarf an befristet von Dritten überlassenem Personal insgesamt oder für bestimmte Bereiche ausschließlich gedeckt wird durch Abordnungen von</w:t>
      </w:r>
    </w:p>
    <w:p>
      <w:pPr>
        <w:ind w:left="420"/>
      </w:pPr>
      <w:r>
        <w:t xml:space="preserve">1. Beamten,</w:t>
      </w:r>
    </w:p>
    <w:p>
      <w:pPr>
        <w:ind w:left="420"/>
      </w:pPr>
      <w:r>
        <w:t xml:space="preserve">2. Richtern und</w:t>
      </w:r>
    </w:p>
    <w:p>
      <w:pPr>
        <w:ind w:left="420"/>
      </w:pPr>
      <w:r>
        <w:t xml:space="preserve">3. sonstigen Personen, die in einem öffentlich-rechtlichen Dienstverhältnis stehen.</w:t>
      </w:r>
    </w:p>
    <w:p>
      <w:r>
        <w:t xml:space="preserve">Die Bundesregierung wird ermächtigt, durch Rechtsverordnung ohne Zustimmung des Bundesrates die Bedarfe weiterer oberster Bundesbehörden nach Satz 1 zu regeln, wenn diese jeweils ein entsprechendes Bedürfnis dargetan haben. Die Bundesregierung kann die in Satz 2 genannte Ermächtigung durch Rechtsverordnung auf oberste Bundesbehörden für eine Regelung hinsichtlich ihres jeweils eigenen Bedarfs übertragen.</w:t>
      </w:r>
    </w:p>
    <w:p>
      <w:r>
        <w:rPr>
          <w:color w:val="555555"/>
          <w:sz w:val="17"/>
        </w:rPr>
        <w:t xml:space="preserve">Zitiervorschlag: § 27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