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BBG 2009 — Beförderungssperre zwischen zwei Mandaten</w:t>
      </w:r>
    </w:p>
    <w:p>
      <w:r>
        <w:rPr>
          <w:color w:val="555555"/>
          <w:sz w:val="18"/>
        </w:rPr>
        <w:t xml:space="preserve">Bundesbeamtengesetz</w:t>
      </w:r>
    </w:p>
    <w:p>
      <w:r>
        <w:rPr>
          <w:color w:val="555555"/>
          <w:sz w:val="18"/>
        </w:rPr>
        <w:t xml:space="preserve">Stand: 10.06.2019 (konsolidierte Textfassung, kein amtliches Inkrafttretensdatum)</w:t>
      </w:r>
    </w:p>
    <w:p>
      <w:r>
        <w:t xml:space="preserve">Legen Beamtinnen oder Beamte, deren Rechte und Pflichten aus dem Beamtenverhältnis ruhen oder die ohne Besoldung beurlaubt sind, ihr Mandat im Europäischen Parlament, im Deutschen Bundestag oder in der gesetzgebenden Körperschaft eines Landes nieder und bewerben sie sich zu diesem Zeitpunkt erneut um ein Mandat, ist die Übertragung eines anderen Amtes mit höherem Endgrundgehalt und die Übertragung eines anderen Amtes beim Wechsel der Laufbahngruppe nicht zulässig. Satz 1 gilt entsprechend für die Zeit zwischen zwei Wahlperioden.</w:t>
      </w:r>
    </w:p>
    <w:p>
      <w:r>
        <w:rPr>
          <w:color w:val="555555"/>
          <w:sz w:val="17"/>
        </w:rPr>
        <w:t xml:space="preserve">Zitiervorschlag: § 23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