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22a BBG 2009 — Aufstieg; Verordnungsermächtigung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08.07.2021 (konsolidierte Textfassung, kein amtliches Inkrafttretensdatum)</w:t>
      </w:r>
    </w:p>
    <w:p>
      <w:r>
        <w:t xml:space="preserve">(1) Vor dem Wechsel in ein Amt einer höheren Laufbahngruppe (Aufstieg) ist die erforderliche Qualifikation durch eine Prüfung nachzuweisen.</w:t>
      </w:r>
    </w:p>
    <w:p>
      <w:r>
        <w:t xml:space="preserve">(2) Die Bundesregierung regelt durch Rechtsverordnung die Einzelheiten zu den Voraussetzungen und zum Verfahren des Aufstiegs, insbesondere</w:t>
      </w:r>
    </w:p>
    <w:p>
      <w:pPr>
        <w:ind w:left="420"/>
      </w:pPr>
      <w:r>
        <w:t xml:space="preserve">1. legt sie Aufstiegsverfahren für die verschiedenen Laufbahngruppen fest,</w:t>
      </w:r>
    </w:p>
    <w:p>
      <w:pPr>
        <w:ind w:left="420"/>
      </w:pPr>
      <w:r>
        <w:t xml:space="preserve">2. gestaltet sie die Auswahlverfahren für den Aufstieg aus,</w:t>
      </w:r>
    </w:p>
    <w:p>
      <w:pPr>
        <w:ind w:left="420"/>
      </w:pPr>
      <w:r>
        <w:t xml:space="preserve">3. legt sie Altersgrenzen für die Zulassung zum Auswahlverfahren fest,</w:t>
      </w:r>
    </w:p>
    <w:p>
      <w:pPr>
        <w:ind w:left="420"/>
      </w:pPr>
      <w:r>
        <w:t xml:space="preserve">4. gestaltet sie die Aufstiegsverfahren aus,</w:t>
      </w:r>
    </w:p>
    <w:p>
      <w:pPr>
        <w:ind w:left="420"/>
      </w:pPr>
      <w:r>
        <w:t xml:space="preserve">5. legt sie die Voraussetzungen für die Übertragung des Amtes der neuen Laufbahn fest und</w:t>
      </w:r>
    </w:p>
    <w:p>
      <w:pPr>
        <w:ind w:left="420"/>
      </w:pPr>
      <w:r>
        <w:t xml:space="preserve">6. legt sie die Voraussetzungen für die Erstattung von Kosten einer Aufstiegsausbildung im Fall einer Entlassung fest.</w:t>
      </w:r>
    </w:p>
    <w:p>
      <w:r>
        <w:rPr>
          <w:color w:val="555555"/>
          <w:sz w:val="17"/>
        </w:rPr>
        <w:t xml:space="preserve">Zitiervorschlag: § 22a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https://recht.nulegal.eu/gesetze/BBG%202009/22a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22a BBG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