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 2009 — Dienstliche Beurteilung; Verordnungsermächtigung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(1) Eignung, Befähigung und fachliche Leistung der Beamtinnen und Beamten sind regelmäßig, mindestens jedoch alle drei Jahre, zu beurteilen. Sie sind zusätzlich zu beurteilen, wenn es die dienstlichen oder persönlichen Verhältnisse erfordern.</w:t>
      </w:r>
    </w:p>
    <w:p>
      <w:r>
        <w:t xml:space="preserve">(2) In der dienstlichen Beurteilung sind die fachliche Leistung der Beamtin oder des Beamten nachvollziehbar darzustellen sowie Eignung und Befähigung einzuschätzen. Am Schluss der dienstlichen Beurteilung ist ein zusammenfassendes Gesamturteil abzugeben.</w:t>
      </w:r>
    </w:p>
    <w:p>
      <w:r>
        <w:t xml:space="preserve">(3) Die Bundesregierung wird ermächtigt, durch Rechtsverordnung Grundsätze für dienstliche Beurteilungen sowie für das Beurteilungsverfahren zu regeln, insbesondere über</w:t>
      </w:r>
    </w:p>
    <w:p>
      <w:pPr>
        <w:ind w:left="420"/>
      </w:pPr>
      <w:r>
        <w:t xml:space="preserve">1. den weiteren Inhalt der Beurteilung, beispielsweise die Festlegung von zu beurteilenden Merkmalen von Eignung, Befähigung und fachlicher Leistung,</w:t>
      </w:r>
    </w:p>
    <w:p>
      <w:pPr>
        <w:ind w:left="420"/>
      </w:pPr>
      <w:r>
        <w:t xml:space="preserve">2. ein Bewertungssystem für die Beurteilung,</w:t>
      </w:r>
    </w:p>
    <w:p>
      <w:pPr>
        <w:ind w:left="420"/>
      </w:pPr>
      <w:r>
        <w:t xml:space="preserve">3. die Ausgestaltung des Beurteilungsmaßstabs, beispielsweise die konkrete Festlegung von Richtwerten oder die Möglichkeit, von den Richtwerten aus Gründen der Einzelfallgerechtigkeit abzuweichen,</w:t>
      </w:r>
    </w:p>
    <w:p>
      <w:pPr>
        <w:ind w:left="420"/>
      </w:pPr>
      <w:r>
        <w:t xml:space="preserve">4. die Festlegung von Mindestanforderungen an die an der Beurteilung mitwirkenden Personen,</w:t>
      </w:r>
    </w:p>
    <w:p>
      <w:pPr>
        <w:ind w:left="420"/>
      </w:pPr>
      <w:r>
        <w:t xml:space="preserve">5. die Bekanntgabe des Ergebnisses eines Beurteilungsdurchgangs,</w:t>
      </w:r>
    </w:p>
    <w:p>
      <w:pPr>
        <w:ind w:left="420"/>
      </w:pPr>
      <w:r>
        <w:t xml:space="preserve">6. die Voraussetzungen und das Verfahren einer fiktiven Fortschreibung von Beurteilungen und</w:t>
      </w:r>
    </w:p>
    <w:p>
      <w:pPr>
        <w:ind w:left="420"/>
      </w:pPr>
      <w:r>
        <w:t xml:space="preserve">7. Ausnahmen von der Beurteilungspflicht.</w:t>
      </w:r>
    </w:p>
    <w:p>
      <w:r>
        <w:rPr>
          <w:color w:val="555555"/>
          <w:sz w:val="17"/>
        </w:rPr>
        <w:t xml:space="preserve">Zitiervorschlag: § 21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