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136 BBG 2009 — Rechtsstellung der Beamtinnen und Beamten</w:t>
      </w:r>
    </w:p>
    <w:p>
      <w:r>
        <w:rPr>
          <w:color w:val="555555"/>
          <w:sz w:val="18"/>
        </w:rPr>
        <w:t xml:space="preserve">Bundesbeamtengesetz</w:t>
      </w:r>
    </w:p>
    <w:p>
      <w:r>
        <w:rPr>
          <w:color w:val="555555"/>
          <w:sz w:val="18"/>
        </w:rPr>
        <w:t xml:space="preserve">Stand: 10.06.2019 (konsolidierte Textfassung, kein amtliches Inkrafttretensdatum)</w:t>
      </w:r>
    </w:p>
    <w:p>
      <w:r>
        <w:t xml:space="preserve">(1) Den nach § 134 in den Dienst einer anderen Körperschaft übergetretenen oder von ihr übernommenen Beamtinnen und Beamten soll ein dem bisherigen Amt nach Bedeutung und Inhalt gleich zu bewertendes Amt übertragen werden. Wenn eine dem bisherigen Amt entsprechende Verwendung nicht möglich ist, sind § 28 Abs. 3 und § 34 Abs. 1 Satz 1 Nr. 4 entsprechend anzuwenden. Bei Anwendung des § 28 Abs. 3 darf die Beamtin oder der Beamte neben der neuen Amtsbezeichnung die des früheren Amtes mit dem Zusatz „außer Dienst“ oder „a. D.“ führen.</w:t>
      </w:r>
    </w:p>
    <w:p>
      <w:r>
        <w:t xml:space="preserve">(2) Die aufnehmende oder neue Körperschaft kann, wenn die Zahl der bei ihr nach der Umbildung vorhandenen Beamtinnen und Beamten den tatsächlichen Bedarf übersteigt, innerhalb einer Frist von sechs Monaten die entbehrlichen Beamtinnen auf Lebenszeit oder auf Zeit oder die Beamten auf Lebenszeit oder auf Zeit, deren Aufgabengebiet von der Umbildung berührt wurde, in den einstweiligen Ruhestand versetzen. Die Frist des Satzes 1 beginnt im Fall des § 134 Abs. 1 mit dem Übertritt, in den Fällen des § 134 Abs. 2 und 3 mit der Bestimmung derjenigen Beamtinnen und Beamten, zu deren Übernahme die Körperschaft verpflichtet ist. Entsprechendes gilt in den Fällen des § 134 Abs. 4. § 55 Satz 2 ist anzuwenden. Bei Beamtinnen auf Zeit und Beamten auf Zeit, die nach Satz 1 in den einstweiligen Ruhestand versetzt sind, endet der einstweilige Ruhestand mit Ablauf der Amtszeit. Sie gelten zu diesem Zeitpunkt als dauernd in den Ruhestand versetzt, wenn sie bei Verbleiben im Amt mit Ablauf der Amtszeit in den Ruhestand getreten wären.</w:t>
      </w:r>
    </w:p>
    <w:p>
      <w:r>
        <w:rPr>
          <w:color w:val="555555"/>
          <w:sz w:val="17"/>
        </w:rPr>
        <w:t xml:space="preserve">Zitiervorschlag: § 136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136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