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126 BBG 2009 — Verwaltungsrechtsweg</w:t>
      </w:r>
    </w:p>
    <w:p>
      <w:r>
        <w:rPr>
          <w:color w:val="555555"/>
          <w:sz w:val="18"/>
        </w:rPr>
        <w:t xml:space="preserve">Bundesbeamtengesetz</w:t>
      </w:r>
    </w:p>
    <w:p>
      <w:r>
        <w:rPr>
          <w:color w:val="555555"/>
          <w:sz w:val="18"/>
        </w:rPr>
        <w:t xml:space="preserve">Stand: 10.06.2019 (konsolidierte Textfassung, kein amtliches Inkrafttretensdatum)</w:t>
      </w:r>
    </w:p>
    <w:p>
      <w:r>
        <w:t xml:space="preserve">(1) Für alle Klagen der Beamtinnen, Beamten, Ruhestandsbeamtinnen, Ruhestandsbeamten, früheren Beamtinnen, früheren Beamten und der Hinterbliebenen aus dem Beamtenverhältnis sowie für Klagen des Dienstherrn ist der Verwaltungsrechtsweg gegeben.</w:t>
      </w:r>
    </w:p>
    <w:p>
      <w:r>
        <w:t xml:space="preserve">(2) Vor allen Klagen ist ein Vorverfahren nach den Vorschriften des 8. Abschnitts der Verwaltungsgerichtsordnung durchzuführen. Dies gilt auch dann, wenn die Maßnahme von der obersten Dienstbehörde getroffen worden ist.</w:t>
      </w:r>
    </w:p>
    <w:p>
      <w:r>
        <w:t xml:space="preserve">(3) Den Widerspruchsbescheid erlässt die oberste Dienstbehörde. Sie kann die Entscheidung für Fälle, in denen sie die Maßnahme nicht selbst getroffen hat, durch allgemeine Anordnung anderen Behörden übertragen. Die Anordnung ist zu veröffentlichen.</w:t>
      </w:r>
    </w:p>
    <w:p>
      <w:r>
        <w:t xml:space="preserve">(4) Widerspruch und Anfechtungsklage gegen die Abordnung oder die Versetzung haben keine aufschiebende Wirkung.</w:t>
      </w:r>
    </w:p>
    <w:p>
      <w:r>
        <w:rPr>
          <w:color w:val="555555"/>
          <w:sz w:val="17"/>
        </w:rPr>
        <w:t xml:space="preserve">Zitiervorschlag: § 126 BBG 2009</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https://recht.nulegal.eu/gesetze/BBG%202009/126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