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BBG 2009 — Rechtsstellung der Mitglieder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Dienstaufsicht über die Mitglieder des Bundespersonalausschusses führt im Auftrag der Bundesregierung die Bundesministerin des Innern und für Heimat oder der Bundesminister des Innern und für Heimat mit folgenden Maßgaben:</w:t>
      </w:r>
    </w:p>
    <w:p>
      <w:pPr>
        <w:ind w:left="420"/>
      </w:pPr>
      <w:r>
        <w:t xml:space="preserve">1. Die Mitglieder des Bundespersonalausschusses sind unabhängig und nur dem Gesetz unterworfen. Sie dürfen wegen ihrer Tätigkeit weder dienstlich gemaßregelt noch benachteiligt werden.</w:t>
      </w:r>
    </w:p>
    <w:p>
      <w:pPr>
        <w:ind w:left="420"/>
      </w:pPr>
      <w:r>
        <w:t xml:space="preserve">2. Sie scheiden aus ihrem Amt als Mitglied des Bundespersonalausschusses aus</w:t>
      </w:r>
    </w:p>
    <w:p>
      <w:pPr>
        <w:ind w:left="780"/>
      </w:pPr>
      <w:r>
        <w:t xml:space="preserve">a) durch Zeitablauf,</w:t>
      </w:r>
    </w:p>
    <w:p>
      <w:pPr>
        <w:ind w:left="780"/>
      </w:pPr>
      <w:r>
        <w:t xml:space="preserve">b) durch Ausscheiden aus dem Hauptamt oder aus der Behörde, die für ihre Mitgliedschaft maßgeblich sind,</w:t>
      </w:r>
    </w:p>
    <w:p>
      <w:pPr>
        <w:ind w:left="780"/>
      </w:pPr>
      <w:r>
        <w:t xml:space="preserve">c) durch Beendigung des Beamtenverhältnisses oder</w:t>
      </w:r>
    </w:p>
    <w:p>
      <w:pPr>
        <w:ind w:left="780"/>
      </w:pPr>
      <w:r>
        <w:t xml:space="preserve">d) unter den gleichen Voraussetzungen, unter denen Mitglieder einer Kammer oder eines Senats für Disziplinarsachen wegen einer rechtskräftigen Entscheidung in einem Straf- oder Disziplinarverfahren ihr Amt verlieren; § 66 ist nicht anzuwenden.</w:t>
      </w:r>
    </w:p>
    <w:p>
      <w:r>
        <w:rPr>
          <w:color w:val="555555"/>
          <w:sz w:val="17"/>
        </w:rPr>
        <w:t xml:space="preserve">Zitiervorschlag: § 121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