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BBG 2009 — Aufbewahrungsfrist</w:t>
      </w:r>
    </w:p>
    <w:p>
      <w:r>
        <w:rPr>
          <w:color w:val="555555"/>
          <w:sz w:val="18"/>
        </w:rPr>
        <w:t xml:space="preserve">Bundesbeamtengesetz</w:t>
      </w:r>
    </w:p>
    <w:p>
      <w:r>
        <w:rPr>
          <w:color w:val="555555"/>
          <w:sz w:val="18"/>
        </w:rPr>
        <w:t xml:space="preserve">Stand: 10.06.2019 (konsolidierte Textfassung, kein amtliches Inkrafttretensdatum)</w:t>
      </w:r>
    </w:p>
    <w:p>
      <w:r>
        <w:t xml:space="preserve">(1) Personalakten sind nach ihrem Abschluss von der personalaktenführenden Behörde fünf Jahre aufzubewahren. Personalakten sind abgeschlossen,</w:t>
      </w:r>
    </w:p>
    <w:p>
      <w:pPr>
        <w:ind w:left="420"/>
      </w:pPr>
      <w:r>
        <w:t xml:space="preserve">1. wenn die Beamtin oder der Beamte ohne Versorgungsansprüche aus dem öffentlichen Dienst ausgeschieden ist, mit Ablauf des Jahres des Erreichens der Regelaltersgrenze, in den Fällen des § 41 oder des § 10 des Bundesdisziplinargesetzes jedoch erst, wenn mögliche Versorgungsempfängerinnen und Versorgungsempfänger nicht mehr vorhanden sind,</w:t>
      </w:r>
    </w:p>
    <w:p>
      <w:pPr>
        <w:ind w:left="420"/>
      </w:pPr>
      <w:r>
        <w:t xml:space="preserve">2. wenn die Beamtin oder der Beamte ohne versorgungsberechtigte oder altersgeldberechtigte Hinterbliebene verstorben ist, mit Ablauf des Todesjahres, oder</w:t>
      </w:r>
    </w:p>
    <w:p>
      <w:pPr>
        <w:ind w:left="420"/>
      </w:pPr>
      <w:r>
        <w:t xml:space="preserve">3. wenn nach dem Tod der Beamtin oder des Beamten versorgungsberechtigte oder altersgeldberechtigte Hinterbliebene vorhanden sind, mit Ablauf des Jahres, in dem die letzte Versorgungsverpflichtung entfallen ist.</w:t>
      </w:r>
    </w:p>
    <w:p>
      <w:r>
        <w:t xml:space="preserve">Kann der nach Satz 2 Nr. 2 und 3 maßgebliche Zeitpunkt nicht festgestellt werden, ist § 11 Absatz 2 Satz 2 und 3 des Bundesarchivgesetzes entsprechend anzuwenden.</w:t>
      </w:r>
    </w:p>
    <w:p>
      <w:r>
        <w:t xml:space="preserve">(2) Unterlagen über Beihilfen, Heilfürsorge, Heilverfahren, Unterstützungen, Erkrankungen, Umzugs- und Reisekosten sind fünf Jahre, Unterlagen über Erholungsurlaub sind drei Jahre nach Ablauf des Jahres aufzubewahren, in dem die Bearbeitung des einzelnen Vorgangs abgeschlossen wurde. Für zahlungsbegründende Unterlagen nach Satz 1 beträgt die Aufbewahrungsfrist sechs Jahre. Unterlagen, aus denen die Art einer Erkrankung ersichtlich ist, sind unverzüglich zurückzugeben oder zu vernichten, wenn sie für den Zweck, zu dem sie vorgelegt worden sind, nicht mehr benötigt werden. Als Zweck, zu dem die Unterlagen vorgelegt worden sind, gelten auch Verfahren, mit denen Rabatte oder Erstattungen geltend gemacht werden.</w:t>
      </w:r>
    </w:p>
    <w:p>
      <w:r>
        <w:t xml:space="preserve">(3) Versorgungsakten und Altersgeldakten sind zehn Jahre nach Ablauf des Jahres aufzubewahren, in dem die letzte Versorgungszahlung oder Altersgeld- oder Hinterbliebenenaltersgeldzahlung geleistet worden ist. Besteht die Möglichkeit eines Wiederauflebens des Anspruchs, sind die Akten 30 Jahre aufzubewahren.</w:t>
      </w:r>
    </w:p>
    <w:p>
      <w:r>
        <w:t xml:space="preserve">(4) Die Personalakten sind nach Ablauf der Aufbewahrungsfrist zu vernichten, sofern sie nicht nach den §§ 5 bis 7 des Bundesarchivgesetzes vom Bundesarchiv oder einem Landesarchiv übernommen werden.</w:t>
      </w:r>
    </w:p>
    <w:p>
      <w:r>
        <w:rPr>
          <w:color w:val="555555"/>
          <w:sz w:val="17"/>
        </w:rPr>
        <w:t xml:space="preserve">Zitiervorschlag: § 113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