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112 BBG 2009 — Entfernung von Unterlagen</w:t>
      </w:r>
    </w:p>
    <w:p>
      <w:r>
        <w:rPr>
          <w:color w:val="555555"/>
          <w:sz w:val="18"/>
        </w:rPr>
        <w:t xml:space="preserve">Bundesbeamtengesetz</w:t>
      </w:r>
    </w:p>
    <w:p>
      <w:r>
        <w:rPr>
          <w:color w:val="555555"/>
          <w:sz w:val="18"/>
        </w:rPr>
        <w:t xml:space="preserve">Stand: 10.06.2019 (konsolidierte Textfassung, kein amtliches Inkrafttretensdatum)</w:t>
      </w:r>
    </w:p>
    <w:p>
      <w:r>
        <w:t xml:space="preserve">(1) Unterlagen über Beschwerden, Behauptungen und Bewertungen, auf die § 16 Abs. 3 und 4 Satz 1 des Bundesdisziplinargesetzes nicht anzuwenden ist, sind,</w:t>
      </w:r>
    </w:p>
    <w:p>
      <w:pPr>
        <w:ind w:left="420"/>
      </w:pPr>
      <w:r>
        <w:t xml:space="preserve">1. falls sie sich als unbegründet oder falsch erwiesen haben, mit Zustimmung der Beamtin oder des Beamten unverzüglich aus der Personalakte zu entfernen und zu vernichten, oder</w:t>
      </w:r>
    </w:p>
    <w:p>
      <w:pPr>
        <w:ind w:left="420"/>
      </w:pPr>
      <w:r>
        <w:t xml:space="preserve">2. falls sie für die Beamtin oder den Beamten ungünstig sind oder ihr oder ihm nachteilig werden können, auf Antrag nach zwei Jahren zu entfernen und zu vernichten; dies gilt nicht für dienstliche Beurteilungen.</w:t>
      </w:r>
    </w:p>
    <w:p>
      <w:r>
        <w:t xml:space="preserve">Die Frist nach Satz 1 Nr. 2 wird durch erneute Sachverhalte im Sinne dieser Vorschrift oder durch die Einleitung eines Straf- oder Disziplinarverfahrens unterbrochen. Stellt sich der erneute Vorwurf als unbegründet oder falsch heraus, gilt die Frist als nicht unterbrochen.</w:t>
      </w:r>
    </w:p>
    <w:p>
      <w:r>
        <w:t xml:space="preserve">(2) Mitteilungen in Strafsachen, soweit sie nicht Bestandteil einer Disziplinarakte sind, sowie Auskünfte aus dem Bundeszentralregister sind mit Zustimmung der Beamtin oder des Beamten nach zwei Jahren zu entfernen und zu vernichten. Absatz 1 Satz 2 und 3 gilt entsprechend.</w:t>
      </w:r>
    </w:p>
    <w:p>
      <w:r>
        <w:rPr>
          <w:color w:val="555555"/>
          <w:sz w:val="17"/>
        </w:rPr>
        <w:t xml:space="preserve">Zitiervorschlag: § 112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https://recht.nulegal.eu/gesetze/BBG%202009/112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112 BBG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