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103 BBG 2009 — Erlöschen der mit dem Hauptamt verbundenen Nebentätigkeit</w:t>
      </w:r>
    </w:p>
    <w:p>
      <w:r>
        <w:rPr>
          <w:color w:val="555555"/>
          <w:sz w:val="18"/>
        </w:rPr>
        <w:t xml:space="preserve">Bundesbeamtengesetz</w:t>
      </w:r>
    </w:p>
    <w:p>
      <w:r>
        <w:rPr>
          <w:color w:val="555555"/>
          <w:sz w:val="18"/>
        </w:rPr>
        <w:t xml:space="preserve">Stand: 10.06.2019 (konsolidierte Textfassung, kein amtliches Inkrafttretensdatum)</w:t>
      </w:r>
    </w:p>
    <w:p>
      <w:r>
        <w:t xml:space="preserve">Endet das Beamtenverhältnis, enden, wenn im Einzelfall nichts anderes bestimmt wird, auch die Nebenämter und Nebenbeschäftigungen, die im Zusammenhang mit dem Hauptamt übertragen sind oder die auf Verlangen, Vorschlag oder Veranlassung der oder des Dienstvorgesetzten ausgeübt worden sind.</w:t>
      </w:r>
    </w:p>
    <w:p>
      <w:r>
        <w:rPr>
          <w:color w:val="555555"/>
          <w:sz w:val="17"/>
        </w:rPr>
        <w:t xml:space="preserve">Zitiervorschlag: § 103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103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