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BBFestV 2026 — Inkrafttreten</w:t>
      </w:r>
    </w:p>
    <w:p>
      <w:r>
        <w:rPr>
          <w:color w:val="555555"/>
          <w:sz w:val="18"/>
        </w:rPr>
        <w:t xml:space="preserve">Bundesbeteiligungs-Festlegungsverordnung 2026</w:t>
      </w:r>
    </w:p>
    <w:p>
      <w:r>
        <w:rPr>
          <w:color w:val="555555"/>
          <w:sz w:val="18"/>
        </w:rPr>
        <w:t xml:space="preserve">Stand: 17.07.2026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3 BBFestV 2026</w:t>
      </w:r>
    </w:p>
    <w:p>
      <w:r>
        <w:rPr>
          <w:color w:val="555555"/>
          <w:sz w:val="17"/>
        </w:rPr>
        <w:t xml:space="preserve">Quelle: Bundesamt für Justiz, abgerufen 17.07.2026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https://recht.nulegal.eu/gesetze/BBFestV%202026/3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