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BBFestV 2024</w:t>
      </w:r>
    </w:p>
    <w:p>
      <w:r>
        <w:rPr>
          <w:color w:val="555555"/>
          <w:sz w:val="18"/>
        </w:rPr>
        <w:t xml:space="preserve">Bundesbeteiligungs-Festlegungsverordnung 2024</w:t>
      </w:r>
    </w:p>
    <w:p>
      <w:r>
        <w:rPr>
          <w:color w:val="555555"/>
          <w:sz w:val="18"/>
        </w:rPr>
        <w:t xml:space="preserve">Stand: 11.07.2024 (konsolidierte Textfassung, kein amtliches Inkrafttretensdatum)</w:t>
      </w:r>
    </w:p>
    <w:p>
      <w:r>
        <w:t xml:space="preserve">Auf Grund des § 46 Absatz 10 Satz 1 des Zweiten Buches Sozialgesetzbuch, der durch Artikel 3 Nummer 3 Buchstabe a des Gesetzes vom 9. Dezember 2019 (BGBl. I S. 2051) neu gefasst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BBFestV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https://recht.nulegal.eu/gesetze/BBFestV%202024/eingangsformel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