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 BBFestV 2024 — Inkrafttreten</w:t>
      </w:r>
    </w:p>
    <w:p>
      <w:r>
        <w:rPr>
          <w:color w:val="555555"/>
          <w:sz w:val="18"/>
        </w:rPr>
        <w:t xml:space="preserve">Bundesbeteiligungs-Festlegungsverordnung 2024</w:t>
      </w:r>
    </w:p>
    <w:p>
      <w:r>
        <w:rPr>
          <w:color w:val="555555"/>
          <w:sz w:val="18"/>
        </w:rPr>
        <w:t xml:space="preserve">Stand: 11.07.2024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3 BBFestV 2024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https://recht.nulegal.eu/gesetze/BBFestV%202024/3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 BBFestV 2024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