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BBFestV 2023 — Inkrafttreten</w:t>
      </w:r>
    </w:p>
    <w:p>
      <w:r>
        <w:rPr>
          <w:color w:val="555555"/>
          <w:sz w:val="18"/>
        </w:rPr>
        <w:t xml:space="preserve">Bundesbeteiligungs-Festlegungsverordnung 2023</w:t>
      </w:r>
    </w:p>
    <w:p>
      <w:r>
        <w:rPr>
          <w:color w:val="555555"/>
          <w:sz w:val="18"/>
        </w:rPr>
        <w:t xml:space="preserve">Stand: 13.07.2023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BBFestV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https://recht.nulegal.eu/gesetze/BBFestV%202023/3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BBFestV 2023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