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 BBFestV 2018 — Inkrafttreten</w:t>
      </w:r>
    </w:p>
    <w:p>
      <w:r>
        <w:rPr>
          <w:color w:val="555555"/>
          <w:sz w:val="18"/>
        </w:rPr>
        <w:t xml:space="preserve">Bundesbeteiligungs-Festlegungsverordnung 2018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Diese Verordnung tritt am Tag nach der Verkündung in Kraft.</w:t>
      </w:r>
    </w:p>
    <w:p>
      <w:r>
        <w:rPr>
          <w:color w:val="555555"/>
          <w:sz w:val="17"/>
        </w:rPr>
        <w:t xml:space="preserve">Zitiervorschlag: § 4 BBFestV 2018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https://recht.nulegal.eu/gesetze/BBFestV%202018/4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