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BBFestV 2015</w:t>
      </w:r>
    </w:p>
    <w:p>
      <w:r>
        <w:rPr>
          <w:color w:val="555555"/>
          <w:sz w:val="18"/>
        </w:rPr>
        <w:t xml:space="preserve">Bundesbeteiligungs-Festlegungsverordnung 2015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46 Absatz 7 Satz 1 des Zweiten Buches Sozialgesetzbuch – Grundsicherung für Arbeitsuchende – in der Fassung der Bekanntmachung vom 13. Mai 2011 (BGBl. I S. 850, 2094) verordnet das Bundesministerium für Arbeit und Soziales:</w:t>
      </w:r>
    </w:p>
    <w:p>
      <w:r>
        <w:rPr>
          <w:color w:val="555555"/>
          <w:sz w:val="17"/>
        </w:rPr>
        <w:t xml:space="preserve">Zitiervorschlag: Eingangsformel BBFestV 2015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https://recht.nulegal.eu/gesetze/BBFestV%202015/eingangsformel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